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Priboja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1040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Priboj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3979521" cy="2519956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17989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20784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26147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32548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35200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  <w:t xml:space="preserve">35951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33658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27133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23514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Tabela 1. – Ukupan broj stanovnika po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104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Priboj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0-4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5-9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10-14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15-19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20-24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25-29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30-34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35-39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40-44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45-49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50-54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55-59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60-64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65-69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70-74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75-79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80-84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85-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ukupno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17989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20784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26147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32548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3087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3286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3749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3477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2830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2532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1832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35200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2878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3030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2994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342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35951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2031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2373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2316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2204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1635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1097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538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413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33658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904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1306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1635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1704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2055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27133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1127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1405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2192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23514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Tabela 2. – Starosna struktura stanovnika zabeležena u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552949" cy="2724149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za opštinu Priboj ukazuju na značajne promene u ukupnom broju stanovnika, starosnoj strukturi i demografskim obrascima tokom poslednjih decenija. Pad ukupnog broja stanovnika, smanjenje nataliteta i starenje populacije ključni su trendovi.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101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pStyle w:val="1188"/>
        <w:numPr>
          <w:ilvl w:val="0"/>
          <w:numId w:val="14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Snažan rast do 1981. godine:</w:t>
      </w:r>
      <w:r/>
    </w:p>
    <w:p>
      <w:pPr>
        <w:pStyle w:val="1188"/>
        <w:numPr>
          <w:ilvl w:val="0"/>
          <w:numId w:val="14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od 17.989 (1948) na 35.200 (1981), što odražava visok natalitet i industrijski razvoj opštine tokom tog perioda.</w:t>
      </w:r>
      <w:r/>
    </w:p>
    <w:p>
      <w:pPr>
        <w:pStyle w:val="1188"/>
        <w:numPr>
          <w:ilvl w:val="0"/>
          <w:numId w:val="147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Postepeni pad od 1991. godine:</w:t>
      </w:r>
      <w:r/>
    </w:p>
    <w:p>
      <w:pPr>
        <w:pStyle w:val="1188"/>
        <w:numPr>
          <w:ilvl w:val="0"/>
          <w:numId w:val="14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stagnira na 35.951 (1991), a zatim počinje da opada. Pad je posebno izražen nakon 2002. godine.</w:t>
      </w:r>
      <w:r/>
    </w:p>
    <w:p>
      <w:pPr>
        <w:pStyle w:val="1188"/>
        <w:numPr>
          <w:ilvl w:val="0"/>
          <w:numId w:val="14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2002: 33.658 stanovnika.</w:t>
      </w:r>
      <w:r/>
    </w:p>
    <w:p>
      <w:pPr>
        <w:pStyle w:val="1188"/>
        <w:numPr>
          <w:ilvl w:val="0"/>
          <w:numId w:val="15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2011: 27.133 stanovnika.</w:t>
      </w:r>
      <w:r/>
    </w:p>
    <w:p>
      <w:pPr>
        <w:pStyle w:val="1188"/>
        <w:numPr>
          <w:ilvl w:val="0"/>
          <w:numId w:val="15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23.514 stanovnika.</w:t>
      </w:r>
      <w:r/>
    </w:p>
    <w:p>
      <w:pPr>
        <w:pStyle w:val="1188"/>
        <w:numPr>
          <w:ilvl w:val="0"/>
          <w:numId w:val="15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je ukupni pad od skoro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34%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poslednjih 30 godina.</w:t>
      </w:r>
      <w:r/>
    </w:p>
    <w:p>
      <w:pPr>
        <w:pStyle w:val="101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1188"/>
        <w:numPr>
          <w:ilvl w:val="0"/>
          <w:numId w:val="15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Drastičan pad:</w:t>
      </w:r>
      <w:r/>
    </w:p>
    <w:p>
      <w:pPr>
        <w:pStyle w:val="1188"/>
        <w:numPr>
          <w:ilvl w:val="0"/>
          <w:numId w:val="15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i mladih značajno se smanjuje kroz decenije. Na primer:</w:t>
      </w:r>
      <w:r/>
    </w:p>
    <w:p>
      <w:pPr>
        <w:pStyle w:val="1188"/>
        <w:numPr>
          <w:ilvl w:val="0"/>
          <w:numId w:val="15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13.100 (37% ukupne populacije).</w:t>
      </w:r>
      <w:r/>
    </w:p>
    <w:p>
      <w:pPr>
        <w:pStyle w:val="1188"/>
        <w:numPr>
          <w:ilvl w:val="0"/>
          <w:numId w:val="15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3.733 (16% ukupne populacije).</w:t>
      </w:r>
      <w:r/>
    </w:p>
    <w:p>
      <w:pPr>
        <w:pStyle w:val="1188"/>
        <w:numPr>
          <w:ilvl w:val="0"/>
          <w:numId w:val="15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ukazuje na drastično smanjenje nataliteta i sve manji broj mladih porodica.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1188"/>
        <w:numPr>
          <w:ilvl w:val="0"/>
          <w:numId w:val="15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Postepen pad:</w:t>
      </w:r>
      <w:r/>
    </w:p>
    <w:p>
      <w:pPr>
        <w:pStyle w:val="1188"/>
        <w:numPr>
          <w:ilvl w:val="0"/>
          <w:numId w:val="15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Radno sposobni stanovnici (20–59 godina) i dalje čine značajan deo populacije, ali njihov broj opada.</w:t>
      </w:r>
      <w:r/>
    </w:p>
    <w:p>
      <w:pPr>
        <w:pStyle w:val="1188"/>
        <w:numPr>
          <w:ilvl w:val="0"/>
          <w:numId w:val="16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17.200 (49% ukupne populacije).</w:t>
      </w:r>
      <w:r/>
    </w:p>
    <w:p>
      <w:pPr>
        <w:pStyle w:val="1188"/>
        <w:numPr>
          <w:ilvl w:val="0"/>
          <w:numId w:val="16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12.500 (53% ukupne populacije).</w:t>
      </w:r>
      <w:r/>
    </w:p>
    <w:p>
      <w:pPr>
        <w:pStyle w:val="1188"/>
        <w:numPr>
          <w:ilvl w:val="0"/>
          <w:numId w:val="16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Iako je njihov udeo porastao, to je posledica smanjenja mladih i starijih grupa.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1188"/>
        <w:numPr>
          <w:ilvl w:val="0"/>
          <w:numId w:val="16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rast:</w:t>
      </w:r>
      <w:r/>
    </w:p>
    <w:p>
      <w:pPr>
        <w:pStyle w:val="1188"/>
        <w:numPr>
          <w:ilvl w:val="0"/>
          <w:numId w:val="16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starijih od 60 godina raste, što ukazuje na proces starenja populacije.</w:t>
      </w:r>
      <w:r/>
    </w:p>
    <w:p>
      <w:pPr>
        <w:pStyle w:val="1188"/>
        <w:numPr>
          <w:ilvl w:val="0"/>
          <w:numId w:val="16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5.000 (14% populacije).</w:t>
      </w:r>
      <w:r/>
    </w:p>
    <w:p>
      <w:pPr>
        <w:pStyle w:val="1188"/>
        <w:numPr>
          <w:ilvl w:val="0"/>
          <w:numId w:val="16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7.281 (31% populacije).</w:t>
      </w:r>
      <w:r/>
    </w:p>
    <w:p>
      <w:pPr>
        <w:pStyle w:val="101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1188"/>
        <w:numPr>
          <w:ilvl w:val="0"/>
          <w:numId w:val="16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Starosne grupe 0–4 i 5–9 godina beleže značajan pad. Na primer:</w:t>
      </w:r>
      <w:r/>
    </w:p>
    <w:p>
      <w:pPr>
        <w:pStyle w:val="1188"/>
        <w:numPr>
          <w:ilvl w:val="0"/>
          <w:numId w:val="16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godine: 3.087 (1981) → 814 (2022).</w:t>
      </w:r>
      <w:r/>
    </w:p>
    <w:p>
      <w:pPr>
        <w:pStyle w:val="1188"/>
        <w:numPr>
          <w:ilvl w:val="0"/>
          <w:numId w:val="16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je direktan pokazatelj niskog nataliteta i sve manje dece u opštini.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Migracije:</w:t>
      </w:r>
      <w:r/>
    </w:p>
    <w:p>
      <w:pPr>
        <w:pStyle w:val="1188"/>
        <w:numPr>
          <w:ilvl w:val="0"/>
          <w:numId w:val="17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je pogođen migracijama, posebno odlaskom mladih i radno sposobnih stanovnika ka većim gradovima i inostranstvu. Ovo je dodatno ubrzalo pad broja stanovnika.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populacije:</w:t>
      </w:r>
      <w:r/>
    </w:p>
    <w:p>
      <w:pPr>
        <w:pStyle w:val="1188"/>
        <w:numPr>
          <w:ilvl w:val="0"/>
          <w:numId w:val="17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Stariji od 60 godina čine sve veći deo populacije, dok mlađe grupe (0–19 godina) postaju sve manje zastupljene. Ovaj trend je sličan demografskim obrascima u ruralnim i industrijskim mestima Srbije.</w:t>
      </w:r>
      <w:r/>
    </w:p>
    <w:p>
      <w:pPr>
        <w:pStyle w:val="101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može se očekivati dalje smanjenje ukupnog broja stanovnika i promene u starosnoj strukturi: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stanovnika:</w:t>
      </w:r>
      <w:r/>
    </w:p>
    <w:p>
      <w:pPr>
        <w:pStyle w:val="1188"/>
        <w:numPr>
          <w:ilvl w:val="0"/>
          <w:numId w:val="17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1188"/>
        <w:numPr>
          <w:ilvl w:val="0"/>
          <w:numId w:val="17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mogao bi pasti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19.000–20.000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188"/>
        <w:numPr>
          <w:ilvl w:val="0"/>
          <w:numId w:val="17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1188"/>
        <w:numPr>
          <w:ilvl w:val="0"/>
          <w:numId w:val="17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16.000–17.000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01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Starosna struktura:</w:t>
      </w:r>
      <w:r/>
    </w:p>
    <w:p>
      <w:pPr>
        <w:pStyle w:val="1188"/>
        <w:numPr>
          <w:ilvl w:val="0"/>
          <w:numId w:val="17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1188"/>
        <w:numPr>
          <w:ilvl w:val="0"/>
          <w:numId w:val="17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pasti na oko 12–14% ukupne populacije.</w:t>
      </w:r>
      <w:r/>
    </w:p>
    <w:p>
      <w:pPr>
        <w:pStyle w:val="1188"/>
        <w:numPr>
          <w:ilvl w:val="0"/>
          <w:numId w:val="17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1188"/>
        <w:numPr>
          <w:ilvl w:val="0"/>
          <w:numId w:val="17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će rasti na 35–40%, što dodatno povećava pritisak na socijalne i zdravstvene usluge.</w:t>
      </w:r>
      <w:r/>
    </w:p>
    <w:p>
      <w:pPr>
        <w:pStyle w:val="101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1188"/>
        <w:numPr>
          <w:ilvl w:val="0"/>
          <w:numId w:val="18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se suočava sa smanjenjem broja stanovnika, niskim natalitetom, migracijama i ubrzanim starenjem populacije.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stabilizaciju populacije:</w:t>
      </w:r>
      <w:r/>
    </w:p>
    <w:p>
      <w:pPr>
        <w:pStyle w:val="1188"/>
        <w:numPr>
          <w:ilvl w:val="0"/>
          <w:numId w:val="18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porodicama: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Subvencije za mlade porodice i stimulisanje rađanja.</w:t>
      </w:r>
      <w:r/>
    </w:p>
    <w:p>
      <w:pPr>
        <w:pStyle w:val="1188"/>
        <w:numPr>
          <w:ilvl w:val="0"/>
          <w:numId w:val="18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Ekonomske mere: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lokalne industrije i kreirati radna mesta kako bi se zadržali mladi i radno sposobni.</w:t>
      </w:r>
      <w:r/>
    </w:p>
    <w:p>
      <w:pPr>
        <w:pStyle w:val="1188"/>
        <w:numPr>
          <w:ilvl w:val="0"/>
          <w:numId w:val="18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Programi za povratak: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Poticati povratak stanovnika iz dijaspore i njihove investicije u lokalnu zajednicu.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jc w:val="right"/>
    </w:pPr>
    <w:fldSimple w:instr="PAGE \* MERGEFORMAT">
      <w:r>
        <w:t xml:space="preserve">1</w:t>
      </w:r>
    </w:fldSimple>
    <w:r/>
    <w:r/>
  </w:p>
  <w:p>
    <w:pPr>
      <w:pStyle w:val="1036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8">
    <w:name w:val="Heading 1"/>
    <w:basedOn w:val="1184"/>
    <w:next w:val="1184"/>
    <w:link w:val="10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09">
    <w:name w:val="Heading 1 Char"/>
    <w:link w:val="1008"/>
    <w:uiPriority w:val="9"/>
    <w:rPr>
      <w:rFonts w:ascii="Arial" w:hAnsi="Arial" w:eastAsia="Arial" w:cs="Arial"/>
      <w:sz w:val="40"/>
      <w:szCs w:val="40"/>
    </w:rPr>
  </w:style>
  <w:style w:type="paragraph" w:styleId="1010">
    <w:name w:val="Heading 2"/>
    <w:basedOn w:val="1184"/>
    <w:next w:val="1184"/>
    <w:link w:val="10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11">
    <w:name w:val="Heading 2 Char"/>
    <w:link w:val="1010"/>
    <w:uiPriority w:val="9"/>
    <w:rPr>
      <w:rFonts w:ascii="Arial" w:hAnsi="Arial" w:eastAsia="Arial" w:cs="Arial"/>
      <w:sz w:val="34"/>
    </w:rPr>
  </w:style>
  <w:style w:type="paragraph" w:styleId="1012">
    <w:name w:val="Heading 3"/>
    <w:basedOn w:val="1184"/>
    <w:next w:val="1184"/>
    <w:link w:val="10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13">
    <w:name w:val="Heading 3 Char"/>
    <w:link w:val="1012"/>
    <w:uiPriority w:val="9"/>
    <w:rPr>
      <w:rFonts w:ascii="Arial" w:hAnsi="Arial" w:eastAsia="Arial" w:cs="Arial"/>
      <w:sz w:val="30"/>
      <w:szCs w:val="30"/>
    </w:rPr>
  </w:style>
  <w:style w:type="paragraph" w:styleId="1014">
    <w:name w:val="Heading 4"/>
    <w:basedOn w:val="1184"/>
    <w:next w:val="1184"/>
    <w:link w:val="10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15">
    <w:name w:val="Heading 4 Char"/>
    <w:link w:val="1014"/>
    <w:uiPriority w:val="9"/>
    <w:rPr>
      <w:rFonts w:ascii="Arial" w:hAnsi="Arial" w:eastAsia="Arial" w:cs="Arial"/>
      <w:b/>
      <w:bCs/>
      <w:sz w:val="26"/>
      <w:szCs w:val="26"/>
    </w:rPr>
  </w:style>
  <w:style w:type="paragraph" w:styleId="1016">
    <w:name w:val="Heading 5"/>
    <w:basedOn w:val="1184"/>
    <w:next w:val="1184"/>
    <w:link w:val="10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7">
    <w:name w:val="Heading 5 Char"/>
    <w:link w:val="1016"/>
    <w:uiPriority w:val="9"/>
    <w:rPr>
      <w:rFonts w:ascii="Arial" w:hAnsi="Arial" w:eastAsia="Arial" w:cs="Arial"/>
      <w:b/>
      <w:bCs/>
      <w:sz w:val="24"/>
      <w:szCs w:val="24"/>
    </w:rPr>
  </w:style>
  <w:style w:type="paragraph" w:styleId="1018">
    <w:name w:val="Heading 6"/>
    <w:basedOn w:val="1184"/>
    <w:next w:val="1184"/>
    <w:link w:val="10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9">
    <w:name w:val="Heading 6 Char"/>
    <w:link w:val="1018"/>
    <w:uiPriority w:val="9"/>
    <w:rPr>
      <w:rFonts w:ascii="Arial" w:hAnsi="Arial" w:eastAsia="Arial" w:cs="Arial"/>
      <w:b/>
      <w:bCs/>
      <w:sz w:val="22"/>
      <w:szCs w:val="22"/>
    </w:rPr>
  </w:style>
  <w:style w:type="paragraph" w:styleId="1020">
    <w:name w:val="Heading 7"/>
    <w:basedOn w:val="1184"/>
    <w:next w:val="1184"/>
    <w:link w:val="10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21">
    <w:name w:val="Heading 7 Char"/>
    <w:link w:val="10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22">
    <w:name w:val="Heading 8"/>
    <w:basedOn w:val="1184"/>
    <w:next w:val="1184"/>
    <w:link w:val="10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23">
    <w:name w:val="Heading 8 Char"/>
    <w:link w:val="1022"/>
    <w:uiPriority w:val="9"/>
    <w:rPr>
      <w:rFonts w:ascii="Arial" w:hAnsi="Arial" w:eastAsia="Arial" w:cs="Arial"/>
      <w:i/>
      <w:iCs/>
      <w:sz w:val="22"/>
      <w:szCs w:val="22"/>
    </w:rPr>
  </w:style>
  <w:style w:type="paragraph" w:styleId="1024">
    <w:name w:val="Heading 9"/>
    <w:basedOn w:val="1184"/>
    <w:next w:val="1184"/>
    <w:link w:val="10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5">
    <w:name w:val="Heading 9 Char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paragraph" w:styleId="1026">
    <w:name w:val="Title"/>
    <w:basedOn w:val="1184"/>
    <w:next w:val="1184"/>
    <w:link w:val="10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7">
    <w:name w:val="Title Char"/>
    <w:link w:val="1026"/>
    <w:uiPriority w:val="10"/>
    <w:rPr>
      <w:sz w:val="48"/>
      <w:szCs w:val="48"/>
    </w:rPr>
  </w:style>
  <w:style w:type="paragraph" w:styleId="1028">
    <w:name w:val="Subtitle"/>
    <w:basedOn w:val="1184"/>
    <w:next w:val="1184"/>
    <w:link w:val="1029"/>
    <w:uiPriority w:val="11"/>
    <w:qFormat/>
    <w:pPr>
      <w:spacing w:before="200" w:after="200"/>
    </w:pPr>
    <w:rPr>
      <w:sz w:val="24"/>
      <w:szCs w:val="24"/>
    </w:rPr>
  </w:style>
  <w:style w:type="character" w:styleId="1029">
    <w:name w:val="Subtitle Char"/>
    <w:link w:val="1028"/>
    <w:uiPriority w:val="11"/>
    <w:rPr>
      <w:sz w:val="24"/>
      <w:szCs w:val="24"/>
    </w:rPr>
  </w:style>
  <w:style w:type="paragraph" w:styleId="1030">
    <w:name w:val="Quote"/>
    <w:basedOn w:val="1184"/>
    <w:next w:val="1184"/>
    <w:link w:val="1031"/>
    <w:uiPriority w:val="29"/>
    <w:qFormat/>
    <w:pPr>
      <w:ind w:left="720" w:right="720"/>
    </w:pPr>
    <w:rPr>
      <w:i/>
    </w:rPr>
  </w:style>
  <w:style w:type="character" w:styleId="1031">
    <w:name w:val="Quote Char"/>
    <w:link w:val="1030"/>
    <w:uiPriority w:val="29"/>
    <w:rPr>
      <w:i/>
    </w:rPr>
  </w:style>
  <w:style w:type="paragraph" w:styleId="1032">
    <w:name w:val="Intense Quote"/>
    <w:basedOn w:val="1184"/>
    <w:next w:val="1184"/>
    <w:link w:val="10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3">
    <w:name w:val="Intense Quote Char"/>
    <w:link w:val="1032"/>
    <w:uiPriority w:val="30"/>
    <w:rPr>
      <w:i/>
    </w:rPr>
  </w:style>
  <w:style w:type="paragraph" w:styleId="1034">
    <w:name w:val="Header"/>
    <w:basedOn w:val="1184"/>
    <w:link w:val="10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35">
    <w:name w:val="Header Char"/>
    <w:link w:val="1034"/>
    <w:uiPriority w:val="99"/>
  </w:style>
  <w:style w:type="paragraph" w:styleId="1036">
    <w:name w:val="Footer"/>
    <w:basedOn w:val="1184"/>
    <w:link w:val="10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37">
    <w:name w:val="Footer Char"/>
    <w:link w:val="1036"/>
    <w:uiPriority w:val="99"/>
  </w:style>
  <w:style w:type="paragraph" w:styleId="1038">
    <w:name w:val="Caption"/>
    <w:basedOn w:val="1184"/>
    <w:next w:val="11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9">
    <w:name w:val="Caption Char"/>
    <w:basedOn w:val="1038"/>
    <w:link w:val="1036"/>
    <w:uiPriority w:val="99"/>
  </w:style>
  <w:style w:type="table" w:styleId="1040">
    <w:name w:val="Table Grid"/>
    <w:basedOn w:val="11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1">
    <w:name w:val="Table Grid Light"/>
    <w:basedOn w:val="11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2">
    <w:name w:val="Plain Table 1"/>
    <w:basedOn w:val="11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3">
    <w:name w:val="Plain Table 2"/>
    <w:basedOn w:val="11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4">
    <w:name w:val="Plain Table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5">
    <w:name w:val="Plain Table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Plain Table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7">
    <w:name w:val="Grid Table 1 Light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1 Light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Grid Table 1 Light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Grid Table 1 Light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Grid Table 1 Light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Grid Table 1 Light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Grid Table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2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2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2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2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2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3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3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3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4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9">
    <w:name w:val="Grid Table 4 - Accent 1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0">
    <w:name w:val="Grid Table 4 - Accent 2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1">
    <w:name w:val="Grid Table 4 - Accent 3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72">
    <w:name w:val="Grid Table 4 - Accent 4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3">
    <w:name w:val="Grid Table 4 - Accent 5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4">
    <w:name w:val="Grid Table 4 - Accent 6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5">
    <w:name w:val="Grid Table 5 Dark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6">
    <w:name w:val="Grid Table 5 Dark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77">
    <w:name w:val="Grid Table 5 Dark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78">
    <w:name w:val="Grid Table 5 Dark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9">
    <w:name w:val="Grid Table 5 Dark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80">
    <w:name w:val="Grid Table 5 Dark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81">
    <w:name w:val="Grid Table 5 Dark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82">
    <w:name w:val="Grid Table 6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3">
    <w:name w:val="Grid Table 6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4">
    <w:name w:val="Grid Table 6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5">
    <w:name w:val="Grid Table 6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6">
    <w:name w:val="Grid Table 6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7">
    <w:name w:val="Grid Table 6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8">
    <w:name w:val="Grid Table 6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9">
    <w:name w:val="Grid Table 7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Grid Table 7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Grid Table 7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Grid Table 7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Grid Table 7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7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1 Light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1 Light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1 Light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4">
    <w:name w:val="List Table 2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5">
    <w:name w:val="List Table 2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6">
    <w:name w:val="List Table 2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7">
    <w:name w:val="List Table 2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8">
    <w:name w:val="List Table 2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9">
    <w:name w:val="List Table 2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0">
    <w:name w:val="List Table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3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3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3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3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3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4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4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4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4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5 Dark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5 Dark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6">
    <w:name w:val="List Table 5 Dark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7">
    <w:name w:val="List Table 5 Dark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8">
    <w:name w:val="List Table 5 Dark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9">
    <w:name w:val="List Table 5 Dark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0">
    <w:name w:val="List Table 5 Dark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1">
    <w:name w:val="List Table 6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32">
    <w:name w:val="List Table 6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3">
    <w:name w:val="List Table 6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4">
    <w:name w:val="List Table 6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5">
    <w:name w:val="List Table 6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6">
    <w:name w:val="List Table 6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7">
    <w:name w:val="List Table 6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8">
    <w:name w:val="List Table 7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9">
    <w:name w:val="List Table 7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40">
    <w:name w:val="List Table 7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41">
    <w:name w:val="List Table 7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42">
    <w:name w:val="List Table 7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43">
    <w:name w:val="List Table 7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44">
    <w:name w:val="List Table 7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45">
    <w:name w:val="Lined - Accent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6">
    <w:name w:val="Lined - Accent 1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47">
    <w:name w:val="Lined - Accent 2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8">
    <w:name w:val="Lined - Accent 3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9">
    <w:name w:val="Lined - Accent 4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0">
    <w:name w:val="Lined - Accent 5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51">
    <w:name w:val="Lined - Accent 6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2">
    <w:name w:val="Bordered &amp; Lined - Accent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3">
    <w:name w:val="Bordered &amp; Lined - Accent 1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54">
    <w:name w:val="Bordered &amp; Lined - Accent 2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5">
    <w:name w:val="Bordered &amp; Lined - Accent 3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6">
    <w:name w:val="Bordered &amp; Lined - Accent 4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7">
    <w:name w:val="Bordered &amp; Lined - Accent 5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58">
    <w:name w:val="Bordered &amp; Lined - Accent 6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9">
    <w:name w:val="Bordered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0">
    <w:name w:val="Bordered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1">
    <w:name w:val="Bordered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62">
    <w:name w:val="Bordered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3">
    <w:name w:val="Bordered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4">
    <w:name w:val="Bordered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5">
    <w:name w:val="Bordered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6">
    <w:name w:val="Hyperlink"/>
    <w:uiPriority w:val="99"/>
    <w:unhideWhenUsed/>
    <w:rPr>
      <w:color w:val="0000ff" w:themeColor="hyperlink"/>
      <w:u w:val="single"/>
    </w:rPr>
  </w:style>
  <w:style w:type="paragraph" w:styleId="1167">
    <w:name w:val="footnote text"/>
    <w:basedOn w:val="1184"/>
    <w:link w:val="1168"/>
    <w:uiPriority w:val="99"/>
    <w:semiHidden/>
    <w:unhideWhenUsed/>
    <w:pPr>
      <w:spacing w:after="40" w:line="240" w:lineRule="auto"/>
    </w:pPr>
    <w:rPr>
      <w:sz w:val="18"/>
    </w:rPr>
  </w:style>
  <w:style w:type="character" w:styleId="1168">
    <w:name w:val="Footnote Text Char"/>
    <w:link w:val="1167"/>
    <w:uiPriority w:val="99"/>
    <w:rPr>
      <w:sz w:val="18"/>
    </w:rPr>
  </w:style>
  <w:style w:type="character" w:styleId="1169">
    <w:name w:val="footnote reference"/>
    <w:uiPriority w:val="99"/>
    <w:unhideWhenUsed/>
    <w:rPr>
      <w:vertAlign w:val="superscript"/>
    </w:rPr>
  </w:style>
  <w:style w:type="paragraph" w:styleId="1170">
    <w:name w:val="endnote text"/>
    <w:basedOn w:val="1184"/>
    <w:link w:val="1171"/>
    <w:uiPriority w:val="99"/>
    <w:semiHidden/>
    <w:unhideWhenUsed/>
    <w:pPr>
      <w:spacing w:after="0" w:line="240" w:lineRule="auto"/>
    </w:pPr>
    <w:rPr>
      <w:sz w:val="20"/>
    </w:rPr>
  </w:style>
  <w:style w:type="character" w:styleId="1171">
    <w:name w:val="Endnote Text Char"/>
    <w:link w:val="1170"/>
    <w:uiPriority w:val="99"/>
    <w:rPr>
      <w:sz w:val="20"/>
    </w:rPr>
  </w:style>
  <w:style w:type="character" w:styleId="1172">
    <w:name w:val="endnote reference"/>
    <w:uiPriority w:val="99"/>
    <w:semiHidden/>
    <w:unhideWhenUsed/>
    <w:rPr>
      <w:vertAlign w:val="superscript"/>
    </w:rPr>
  </w:style>
  <w:style w:type="paragraph" w:styleId="1173">
    <w:name w:val="toc 1"/>
    <w:basedOn w:val="1184"/>
    <w:next w:val="1184"/>
    <w:uiPriority w:val="39"/>
    <w:unhideWhenUsed/>
    <w:pPr>
      <w:ind w:left="0" w:right="0" w:firstLine="0"/>
      <w:spacing w:after="57"/>
    </w:pPr>
  </w:style>
  <w:style w:type="paragraph" w:styleId="1174">
    <w:name w:val="toc 2"/>
    <w:basedOn w:val="1184"/>
    <w:next w:val="1184"/>
    <w:uiPriority w:val="39"/>
    <w:unhideWhenUsed/>
    <w:pPr>
      <w:ind w:left="283" w:right="0" w:firstLine="0"/>
      <w:spacing w:after="57"/>
    </w:pPr>
  </w:style>
  <w:style w:type="paragraph" w:styleId="1175">
    <w:name w:val="toc 3"/>
    <w:basedOn w:val="1184"/>
    <w:next w:val="1184"/>
    <w:uiPriority w:val="39"/>
    <w:unhideWhenUsed/>
    <w:pPr>
      <w:ind w:left="567" w:right="0" w:firstLine="0"/>
      <w:spacing w:after="57"/>
    </w:pPr>
  </w:style>
  <w:style w:type="paragraph" w:styleId="1176">
    <w:name w:val="toc 4"/>
    <w:basedOn w:val="1184"/>
    <w:next w:val="1184"/>
    <w:uiPriority w:val="39"/>
    <w:unhideWhenUsed/>
    <w:pPr>
      <w:ind w:left="850" w:right="0" w:firstLine="0"/>
      <w:spacing w:after="57"/>
    </w:pPr>
  </w:style>
  <w:style w:type="paragraph" w:styleId="1177">
    <w:name w:val="toc 5"/>
    <w:basedOn w:val="1184"/>
    <w:next w:val="1184"/>
    <w:uiPriority w:val="39"/>
    <w:unhideWhenUsed/>
    <w:pPr>
      <w:ind w:left="1134" w:right="0" w:firstLine="0"/>
      <w:spacing w:after="57"/>
    </w:pPr>
  </w:style>
  <w:style w:type="paragraph" w:styleId="1178">
    <w:name w:val="toc 6"/>
    <w:basedOn w:val="1184"/>
    <w:next w:val="1184"/>
    <w:uiPriority w:val="39"/>
    <w:unhideWhenUsed/>
    <w:pPr>
      <w:ind w:left="1417" w:right="0" w:firstLine="0"/>
      <w:spacing w:after="57"/>
    </w:pPr>
  </w:style>
  <w:style w:type="paragraph" w:styleId="1179">
    <w:name w:val="toc 7"/>
    <w:basedOn w:val="1184"/>
    <w:next w:val="1184"/>
    <w:uiPriority w:val="39"/>
    <w:unhideWhenUsed/>
    <w:pPr>
      <w:ind w:left="1701" w:right="0" w:firstLine="0"/>
      <w:spacing w:after="57"/>
    </w:pPr>
  </w:style>
  <w:style w:type="paragraph" w:styleId="1180">
    <w:name w:val="toc 8"/>
    <w:basedOn w:val="1184"/>
    <w:next w:val="1184"/>
    <w:uiPriority w:val="39"/>
    <w:unhideWhenUsed/>
    <w:pPr>
      <w:ind w:left="1984" w:right="0" w:firstLine="0"/>
      <w:spacing w:after="57"/>
    </w:pPr>
  </w:style>
  <w:style w:type="paragraph" w:styleId="1181">
    <w:name w:val="toc 9"/>
    <w:basedOn w:val="1184"/>
    <w:next w:val="1184"/>
    <w:uiPriority w:val="39"/>
    <w:unhideWhenUsed/>
    <w:pPr>
      <w:ind w:left="2268" w:right="0" w:firstLine="0"/>
      <w:spacing w:after="57"/>
    </w:pPr>
  </w:style>
  <w:style w:type="paragraph" w:styleId="1182">
    <w:name w:val="TOC Heading"/>
    <w:uiPriority w:val="39"/>
    <w:unhideWhenUsed/>
  </w:style>
  <w:style w:type="paragraph" w:styleId="1183">
    <w:name w:val="table of figures"/>
    <w:basedOn w:val="1184"/>
    <w:next w:val="1184"/>
    <w:uiPriority w:val="99"/>
    <w:unhideWhenUsed/>
    <w:pPr>
      <w:spacing w:after="0" w:afterAutospacing="0"/>
    </w:pPr>
  </w:style>
  <w:style w:type="paragraph" w:styleId="1184" w:default="1">
    <w:name w:val="Normal"/>
    <w:qFormat/>
  </w:style>
  <w:style w:type="table" w:styleId="11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6" w:default="1">
    <w:name w:val="No List"/>
    <w:uiPriority w:val="99"/>
    <w:semiHidden/>
    <w:unhideWhenUsed/>
  </w:style>
  <w:style w:type="paragraph" w:styleId="1187">
    <w:name w:val="No Spacing"/>
    <w:basedOn w:val="1184"/>
    <w:uiPriority w:val="1"/>
    <w:qFormat/>
    <w:pPr>
      <w:spacing w:after="0" w:line="240" w:lineRule="auto"/>
    </w:pPr>
  </w:style>
  <w:style w:type="paragraph" w:styleId="1188">
    <w:name w:val="List Paragraph"/>
    <w:basedOn w:val="1184"/>
    <w:uiPriority w:val="34"/>
    <w:qFormat/>
    <w:pPr>
      <w:contextualSpacing/>
      <w:ind w:left="720"/>
    </w:pPr>
  </w:style>
  <w:style w:type="character" w:styleId="118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Priboja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Priboj!$C$19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Priboj!$B$20:$B$28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Priboj!$C$20:$C$28</c:f>
              <c:numCache>
                <c:formatCode>General</c:formatCode>
                <c:ptCount val="9"/>
                <c:pt idx="0">
                  <c:v>17989</c:v>
                </c:pt>
                <c:pt idx="1">
                  <c:v>20784</c:v>
                </c:pt>
                <c:pt idx="2">
                  <c:v>26147</c:v>
                </c:pt>
                <c:pt idx="3">
                  <c:v>32548</c:v>
                </c:pt>
                <c:pt idx="4">
                  <c:v>35200</c:v>
                </c:pt>
                <c:pt idx="5">
                  <c:v>35951</c:v>
                </c:pt>
                <c:pt idx="6">
                  <c:v>33658</c:v>
                </c:pt>
                <c:pt idx="7">
                  <c:v>27133</c:v>
                </c:pt>
                <c:pt idx="8">
                  <c:v>23514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61"/>
        <c:axId val="511722062"/>
      </c:lineChart>
      <c:catAx>
        <c:axId val="51172206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62"/>
        <c:crosses val="autoZero"/>
        <c:auto val="1"/>
        <c:lblAlgn val="ctr"/>
        <c:lblOffset val="100"/>
        <c:noMultiLvlLbl val="0"/>
      </c:catAx>
      <c:valAx>
        <c:axId val="51172206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6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3979521" cy="2519956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stanovnika Priboja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Priboj!$B$4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Priboj!$C$3:$T$3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Priboj!$C$4:$T$4</c:f>
              <c:numCache>
                <c:formatCode>General</c:formatCode>
                <c:ptCount val="18"/>
                <c:pt idx="0">
                  <c:v>3087</c:v>
                </c:pt>
                <c:pt idx="1">
                  <c:v>2978</c:v>
                </c:pt>
                <c:pt idx="2">
                  <c:v>3286</c:v>
                </c:pt>
                <c:pt idx="3">
                  <c:v>3749</c:v>
                </c:pt>
                <c:pt idx="4">
                  <c:v>3477</c:v>
                </c:pt>
                <c:pt idx="5">
                  <c:v>3293</c:v>
                </c:pt>
                <c:pt idx="6">
                  <c:v>2830</c:v>
                </c:pt>
                <c:pt idx="7">
                  <c:v>2202</c:v>
                </c:pt>
                <c:pt idx="8">
                  <c:v>2532</c:v>
                </c:pt>
                <c:pt idx="9">
                  <c:v>2210</c:v>
                </c:pt>
                <c:pt idx="10">
                  <c:v>1832</c:v>
                </c:pt>
                <c:pt idx="11">
                  <c:v>1000</c:v>
                </c:pt>
                <c:pt idx="12">
                  <c:v>836</c:v>
                </c:pt>
                <c:pt idx="13">
                  <c:v>1000</c:v>
                </c:pt>
                <c:pt idx="14">
                  <c:v>784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Priboj!$B$5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Priboj!$C$3:$T$3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Priboj!$C$5:$T$5</c:f>
              <c:numCache>
                <c:formatCode>General</c:formatCode>
                <c:ptCount val="18"/>
                <c:pt idx="0">
                  <c:v>2624</c:v>
                </c:pt>
                <c:pt idx="1">
                  <c:v>2747</c:v>
                </c:pt>
                <c:pt idx="2">
                  <c:v>2878</c:v>
                </c:pt>
                <c:pt idx="3">
                  <c:v>2788</c:v>
                </c:pt>
                <c:pt idx="4">
                  <c:v>2999</c:v>
                </c:pt>
                <c:pt idx="5">
                  <c:v>2993</c:v>
                </c:pt>
                <c:pt idx="6">
                  <c:v>3030</c:v>
                </c:pt>
                <c:pt idx="7">
                  <c:v>2994</c:v>
                </c:pt>
                <c:pt idx="8">
                  <c:v>2558</c:v>
                </c:pt>
                <c:pt idx="9">
                  <c:v>2047</c:v>
                </c:pt>
                <c:pt idx="10">
                  <c:v>2285</c:v>
                </c:pt>
                <c:pt idx="11">
                  <c:v>2001</c:v>
                </c:pt>
                <c:pt idx="12">
                  <c:v>1581</c:v>
                </c:pt>
                <c:pt idx="13">
                  <c:v>874</c:v>
                </c:pt>
                <c:pt idx="14">
                  <c:v>555</c:v>
                </c:pt>
                <c:pt idx="15">
                  <c:v>342</c:v>
                </c:pt>
                <c:pt idx="16">
                  <c:v>291</c:v>
                </c:pt>
                <c:pt idx="17">
                  <c:v>169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Priboj!$B$6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Priboj!$C$3:$T$3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Priboj!$C$6:$T$6</c:f>
              <c:numCache>
                <c:formatCode>General</c:formatCode>
                <c:ptCount val="18"/>
                <c:pt idx="0">
                  <c:v>1385</c:v>
                </c:pt>
                <c:pt idx="1">
                  <c:v>1689</c:v>
                </c:pt>
                <c:pt idx="2">
                  <c:v>2031</c:v>
                </c:pt>
                <c:pt idx="3">
                  <c:v>2373</c:v>
                </c:pt>
                <c:pt idx="4">
                  <c:v>2316</c:v>
                </c:pt>
                <c:pt idx="5">
                  <c:v>1802</c:v>
                </c:pt>
                <c:pt idx="6">
                  <c:v>1836</c:v>
                </c:pt>
                <c:pt idx="7">
                  <c:v>2180</c:v>
                </c:pt>
                <c:pt idx="8">
                  <c:v>2400</c:v>
                </c:pt>
                <c:pt idx="9">
                  <c:v>2668</c:v>
                </c:pt>
                <c:pt idx="10">
                  <c:v>2204</c:v>
                </c:pt>
                <c:pt idx="11">
                  <c:v>1801</c:v>
                </c:pt>
                <c:pt idx="12">
                  <c:v>1789</c:v>
                </c:pt>
                <c:pt idx="13">
                  <c:v>1635</c:v>
                </c:pt>
                <c:pt idx="14">
                  <c:v>1097</c:v>
                </c:pt>
                <c:pt idx="15">
                  <c:v>538</c:v>
                </c:pt>
                <c:pt idx="16">
                  <c:v>413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Priboj!$B$7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Priboj!$C$3:$T$3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Priboj!$C$7:$T$7</c:f>
              <c:numCache>
                <c:formatCode>General</c:formatCode>
                <c:ptCount val="18"/>
                <c:pt idx="0">
                  <c:v>904</c:v>
                </c:pt>
                <c:pt idx="1">
                  <c:v>1306</c:v>
                </c:pt>
                <c:pt idx="2">
                  <c:v>1339</c:v>
                </c:pt>
                <c:pt idx="3">
                  <c:v>1652</c:v>
                </c:pt>
                <c:pt idx="4">
                  <c:v>1839</c:v>
                </c:pt>
                <c:pt idx="5">
                  <c:v>1635</c:v>
                </c:pt>
                <c:pt idx="6">
                  <c:v>1481</c:v>
                </c:pt>
                <c:pt idx="7">
                  <c:v>1499</c:v>
                </c:pt>
                <c:pt idx="8">
                  <c:v>1704</c:v>
                </c:pt>
                <c:pt idx="9">
                  <c:v>2152</c:v>
                </c:pt>
                <c:pt idx="10">
                  <c:v>2324</c:v>
                </c:pt>
                <c:pt idx="11">
                  <c:v>2565</c:v>
                </c:pt>
                <c:pt idx="12">
                  <c:v>2055</c:v>
                </c:pt>
                <c:pt idx="13">
                  <c:v>1585</c:v>
                </c:pt>
                <c:pt idx="14">
                  <c:v>1426</c:v>
                </c:pt>
                <c:pt idx="15">
                  <c:v>1043</c:v>
                </c:pt>
                <c:pt idx="16">
                  <c:v>451</c:v>
                </c:pt>
                <c:pt idx="17">
                  <c:v>173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Priboj!$B$8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Priboj!$C$3:$T$3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Priboj!$C$8:$T$8</c:f>
              <c:numCache>
                <c:formatCode>General</c:formatCode>
                <c:ptCount val="18"/>
                <c:pt idx="0">
                  <c:v>814</c:v>
                </c:pt>
                <c:pt idx="1">
                  <c:v>879</c:v>
                </c:pt>
                <c:pt idx="2">
                  <c:v>881</c:v>
                </c:pt>
                <c:pt idx="3">
                  <c:v>1159</c:v>
                </c:pt>
                <c:pt idx="4">
                  <c:v>1141</c:v>
                </c:pt>
                <c:pt idx="5">
                  <c:v>1127</c:v>
                </c:pt>
                <c:pt idx="6">
                  <c:v>1217</c:v>
                </c:pt>
                <c:pt idx="7">
                  <c:v>1372</c:v>
                </c:pt>
                <c:pt idx="8">
                  <c:v>1405</c:v>
                </c:pt>
                <c:pt idx="9">
                  <c:v>1458</c:v>
                </c:pt>
                <c:pt idx="10">
                  <c:v>1674</c:v>
                </c:pt>
                <c:pt idx="11">
                  <c:v>2044</c:v>
                </c:pt>
                <c:pt idx="12">
                  <c:v>2192</c:v>
                </c:pt>
                <c:pt idx="13">
                  <c:v>2263</c:v>
                </c:pt>
                <c:pt idx="14">
                  <c:v>1723</c:v>
                </c:pt>
                <c:pt idx="15">
                  <c:v>1099</c:v>
                </c:pt>
                <c:pt idx="16">
                  <c:v>699</c:v>
                </c:pt>
                <c:pt idx="17">
                  <c:v>367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69"/>
        <c:axId val="511722070"/>
      </c:lineChart>
      <c:catAx>
        <c:axId val="511722069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70"/>
        <c:crosses val="autoZero"/>
        <c:auto val="1"/>
        <c:lblAlgn val="ctr"/>
        <c:lblOffset val="100"/>
        <c:noMultiLvlLbl val="0"/>
      </c:catAx>
      <c:valAx>
        <c:axId val="51172207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6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2024-12-30T22:05:12Z</dcterms:modified>
</cp:coreProperties>
</file>